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Disposition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Einkäufer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3C5D" w:rsidRPr="00083C5D" w:rsidRDefault="00083C5D" w:rsidP="00083C5D">
            <w:pPr>
              <w:pStyle w:val="Default"/>
              <w:rPr>
                <w:rFonts w:ascii="Arial" w:hAnsi="Arial" w:cs="Arial"/>
              </w:rPr>
            </w:pPr>
            <w:r w:rsidRPr="00083C5D">
              <w:rPr>
                <w:rFonts w:ascii="Arial" w:hAnsi="Arial" w:cs="Arial"/>
                <w:sz w:val="22"/>
                <w:szCs w:val="22"/>
              </w:rPr>
              <w:t>Der Geschäftsprozess besc</w:t>
            </w:r>
            <w:r>
              <w:rPr>
                <w:rFonts w:ascii="Arial" w:hAnsi="Arial" w:cs="Arial"/>
                <w:sz w:val="22"/>
                <w:szCs w:val="22"/>
              </w:rPr>
              <w:t>hreibt alle Sachverhalte, die im direk</w:t>
            </w:r>
            <w:r w:rsidRPr="00083C5D">
              <w:rPr>
                <w:rFonts w:ascii="Arial" w:hAnsi="Arial" w:cs="Arial"/>
                <w:sz w:val="22"/>
                <w:szCs w:val="22"/>
              </w:rPr>
              <w:t>ten</w:t>
            </w:r>
            <w:r w:rsidRPr="00083C5D">
              <w:rPr>
                <w:rFonts w:ascii="Arial" w:hAnsi="Arial" w:cs="Arial"/>
                <w:sz w:val="22"/>
                <w:szCs w:val="22"/>
              </w:rPr>
              <w:t xml:space="preserve"> Zusammenhang mit der </w:t>
            </w:r>
            <w:r w:rsidRPr="00083C5D">
              <w:rPr>
                <w:rFonts w:ascii="Arial" w:hAnsi="Arial" w:cs="Arial"/>
                <w:b/>
                <w:bCs/>
                <w:sz w:val="22"/>
                <w:szCs w:val="22"/>
              </w:rPr>
              <w:t>Bedarfsorientierten Disposition</w:t>
            </w:r>
            <w:r w:rsidRPr="00083C5D">
              <w:rPr>
                <w:rFonts w:ascii="Arial" w:hAnsi="Arial" w:cs="Arial"/>
                <w:sz w:val="22"/>
                <w:szCs w:val="22"/>
              </w:rPr>
              <w:t xml:space="preserve"> stehen. Die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Bedarfsorien</w:t>
            </w:r>
            <w:r w:rsidRPr="00083C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tierte Materialdisposition </w:t>
            </w:r>
            <w:r w:rsidRPr="00083C5D">
              <w:rPr>
                <w:rFonts w:ascii="Arial" w:hAnsi="Arial" w:cs="Arial"/>
                <w:sz w:val="22"/>
                <w:szCs w:val="22"/>
              </w:rPr>
              <w:t>orient</w:t>
            </w:r>
            <w:r>
              <w:rPr>
                <w:rFonts w:ascii="Arial" w:hAnsi="Arial" w:cs="Arial"/>
                <w:sz w:val="22"/>
                <w:szCs w:val="22"/>
              </w:rPr>
              <w:t>iert sich nach den Dispositions</w:t>
            </w:r>
            <w:r w:rsidRPr="00083C5D">
              <w:rPr>
                <w:rFonts w:ascii="Arial" w:hAnsi="Arial" w:cs="Arial"/>
                <w:sz w:val="22"/>
                <w:szCs w:val="22"/>
              </w:rPr>
              <w:t>größen Lagerbestand, Sicherheitsbestand und Bedarfsmenge. Neben der Bedarfsorientierten D</w:t>
            </w:r>
            <w:r>
              <w:rPr>
                <w:rFonts w:ascii="Arial" w:hAnsi="Arial" w:cs="Arial"/>
                <w:sz w:val="22"/>
                <w:szCs w:val="22"/>
              </w:rPr>
              <w:t>isposition gibt es noch die Ver</w:t>
            </w:r>
            <w:r w:rsidRPr="00083C5D">
              <w:rPr>
                <w:rFonts w:ascii="Arial" w:hAnsi="Arial" w:cs="Arial"/>
                <w:sz w:val="22"/>
                <w:szCs w:val="22"/>
              </w:rPr>
              <w:t xml:space="preserve">brauchsgesteuerte Disposition, </w:t>
            </w:r>
            <w:r>
              <w:rPr>
                <w:rFonts w:ascii="Arial" w:hAnsi="Arial" w:cs="Arial"/>
                <w:sz w:val="22"/>
                <w:szCs w:val="22"/>
              </w:rPr>
              <w:t>die innerhalb der Lagerbestands</w:t>
            </w:r>
            <w:r w:rsidRPr="00083C5D">
              <w:rPr>
                <w:rFonts w:ascii="Arial" w:hAnsi="Arial" w:cs="Arial"/>
                <w:sz w:val="22"/>
                <w:szCs w:val="22"/>
              </w:rPr>
              <w:t>führung verwendet wird. Dabei w</w:t>
            </w:r>
            <w:r>
              <w:rPr>
                <w:rFonts w:ascii="Arial" w:hAnsi="Arial" w:cs="Arial"/>
                <w:sz w:val="22"/>
                <w:szCs w:val="22"/>
              </w:rPr>
              <w:t>ird zwischen Bestellpunktverfah</w:t>
            </w:r>
            <w:r w:rsidRPr="00083C5D">
              <w:rPr>
                <w:rFonts w:ascii="Arial" w:hAnsi="Arial" w:cs="Arial"/>
                <w:sz w:val="22"/>
                <w:szCs w:val="22"/>
              </w:rPr>
              <w:t xml:space="preserve">ren und Bestellrhythmusverfahren unterschieden. </w:t>
            </w:r>
          </w:p>
          <w:p w:rsidR="00267921" w:rsidRPr="006E2D94" w:rsidRDefault="0026792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6E2D94" w:rsidP="00083C5D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Ware</w:t>
            </w:r>
            <w:r w:rsidR="00083C5D">
              <w:rPr>
                <w:rFonts w:ascii="Arial" w:hAnsi="Arial" w:cs="Arial"/>
                <w:szCs w:val="24"/>
              </w:rPr>
              <w:t>ndisposition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083C5D">
              <w:rPr>
                <w:rFonts w:ascii="Arial" w:hAnsi="Arial" w:cs="Arial"/>
                <w:szCs w:val="24"/>
              </w:rPr>
              <w:t>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Disponent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Historische Daten, Auswertungen aus Marktanalysen, Absatzzahlen, Bestände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Bestellmengen bestimmt, Bestellung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83C5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Beginn des Arbeitstages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Default="00083C5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Bedarfsplanung, Bestellungserfassung, Bestellungsübermittlung</w:t>
            </w:r>
          </w:p>
          <w:p w:rsidR="00083C5D" w:rsidRPr="006E2D94" w:rsidRDefault="00083C5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Schnittstellen: Auslagerungsauftrag, Bestellung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083C5D" w:rsidRDefault="00083C5D" w:rsidP="00083C5D">
            <w:pPr>
              <w:pStyle w:val="Default"/>
              <w:rPr>
                <w:rFonts w:ascii="Arial" w:hAnsi="Arial" w:cs="Arial"/>
                <w:sz w:val="22"/>
              </w:rPr>
            </w:pPr>
            <w:r w:rsidRPr="00083C5D">
              <w:rPr>
                <w:rFonts w:ascii="Arial" w:hAnsi="Arial" w:cs="Arial"/>
                <w:sz w:val="22"/>
              </w:rPr>
              <w:t>Zukünftiger Bestand</w:t>
            </w:r>
            <w:r>
              <w:rPr>
                <w:rFonts w:ascii="Arial" w:hAnsi="Arial" w:cs="Arial"/>
                <w:sz w:val="22"/>
              </w:rPr>
              <w:t>, Gesamtbestand, Bestand bei Zugang, Sicherheitsbestand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83C5D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83C5D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83C5D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083C5D" w:rsidRDefault="006E2D94" w:rsidP="0008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083C5D">
              <w:rPr>
                <w:rFonts w:ascii="Arial" w:hAnsi="Arial" w:cs="Arial"/>
                <w:szCs w:val="24"/>
              </w:rPr>
              <w:t xml:space="preserve">Optimierte </w:t>
            </w:r>
            <w:r w:rsidR="00083C5D">
              <w:rPr>
                <w:rFonts w:ascii="Arial" w:hAnsi="Arial" w:cs="Arial"/>
                <w:szCs w:val="24"/>
              </w:rPr>
              <w:t>Disposition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083C5D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083C5D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083C5D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083C5D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Beteiligte Organisationseinheiten / </w:t>
            </w:r>
            <w:r>
              <w:rPr>
                <w:rFonts w:ascii="Arial" w:hAnsi="Arial" w:cs="Arial"/>
              </w:rPr>
              <w:lastRenderedPageBreak/>
              <w:t>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083C5D" w:rsidRDefault="006E2D94" w:rsidP="0008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083C5D">
              <w:rPr>
                <w:rFonts w:ascii="Arial" w:hAnsi="Arial" w:cs="Arial"/>
                <w:szCs w:val="24"/>
              </w:rPr>
              <w:lastRenderedPageBreak/>
              <w:t>Disposition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1C" w:rsidRDefault="0073661C" w:rsidP="00DF2ED4">
      <w:pPr>
        <w:spacing w:after="0" w:line="240" w:lineRule="auto"/>
      </w:pPr>
      <w:r>
        <w:separator/>
      </w:r>
    </w:p>
  </w:endnote>
  <w:endnote w:type="continuationSeparator" w:id="0">
    <w:p w:rsidR="0073661C" w:rsidRDefault="0073661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1C" w:rsidRDefault="0073661C" w:rsidP="00DF2ED4">
      <w:pPr>
        <w:spacing w:after="0" w:line="240" w:lineRule="auto"/>
      </w:pPr>
      <w:r>
        <w:separator/>
      </w:r>
    </w:p>
  </w:footnote>
  <w:footnote w:type="continuationSeparator" w:id="0">
    <w:p w:rsidR="0073661C" w:rsidRDefault="0073661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3C5D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3661C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2013-10-04T10:50:00Z</dcterms:created>
  <dcterms:modified xsi:type="dcterms:W3CDTF">2013-10-04T10:50:00Z</dcterms:modified>
</cp:coreProperties>
</file>